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1C57">
      <w:pPr>
        <w:pStyle w:val="BodyText"/>
        <w:widowControl/>
        <w:spacing w:before="45" w:line="255" w:lineRule="atLeast"/>
        <w:rPr>
          <w:b/>
          <w:color w:val="2B2B2B"/>
        </w:rPr>
      </w:pPr>
      <w:r>
        <w:rPr>
          <w:b/>
          <w:color w:val="2B2B2B"/>
        </w:rPr>
        <w:t>U</w:t>
      </w:r>
      <w:r w:rsidR="00665A08">
        <w:rPr>
          <w:b/>
          <w:color w:val="2B2B2B"/>
        </w:rPr>
        <w:t xml:space="preserve">ndervisningsplan </w:t>
      </w:r>
      <w:r>
        <w:rPr>
          <w:b/>
          <w:color w:val="2B2B2B"/>
        </w:rPr>
        <w:t xml:space="preserve">for </w:t>
      </w:r>
      <w:r w:rsidR="00665A08">
        <w:rPr>
          <w:b/>
          <w:color w:val="2B2B2B"/>
        </w:rPr>
        <w:t>Exfac-Est</w:t>
      </w:r>
      <w:r>
        <w:rPr>
          <w:b/>
          <w:color w:val="2B2B2B"/>
        </w:rPr>
        <w:t>, høsten 2010</w:t>
      </w:r>
    </w:p>
    <w:p w:rsidR="00000000" w:rsidRDefault="00665A08">
      <w:pPr>
        <w:pStyle w:val="BodyText"/>
        <w:widowControl/>
        <w:spacing w:before="45" w:line="255" w:lineRule="atLeast"/>
        <w:rPr>
          <w:color w:val="2B2B2B"/>
        </w:rPr>
      </w:pPr>
    </w:p>
    <w:p w:rsidR="00000000" w:rsidRDefault="00665A08">
      <w:pPr>
        <w:pStyle w:val="BodyText"/>
        <w:widowControl/>
        <w:spacing w:before="45" w:line="255" w:lineRule="atLeast"/>
        <w:rPr>
          <w:color w:val="2B2B2B"/>
        </w:rPr>
      </w:pPr>
      <w:r>
        <w:rPr>
          <w:b/>
          <w:color w:val="2B2B2B"/>
        </w:rPr>
        <w:t>Uke 34.</w:t>
      </w:r>
      <w:r>
        <w:rPr>
          <w:color w:val="2B2B2B"/>
        </w:rPr>
        <w:t xml:space="preserve"> Introduksjon til EXFAC03-EST og innledende om estetikk og arbeid med ulike kunstformer. (Utdeling av oppgave 1)</w:t>
      </w:r>
    </w:p>
    <w:p w:rsidR="00000000" w:rsidRDefault="00665A08">
      <w:pPr>
        <w:pStyle w:val="BodyText"/>
        <w:widowControl/>
        <w:spacing w:before="45" w:line="255" w:lineRule="atLeast"/>
        <w:rPr>
          <w:color w:val="2B2B2B"/>
        </w:rPr>
      </w:pPr>
      <w:r>
        <w:rPr>
          <w:b/>
          <w:color w:val="2B2B2B"/>
        </w:rPr>
        <w:t xml:space="preserve">Uke 35. </w:t>
      </w:r>
      <w:r>
        <w:rPr>
          <w:color w:val="2B2B2B"/>
        </w:rPr>
        <w:t xml:space="preserve">Bilder og tolkning. </w:t>
      </w:r>
      <w:r>
        <w:rPr>
          <w:color w:val="2B2B2B"/>
        </w:rPr>
        <w:br/>
      </w:r>
      <w:r>
        <w:rPr>
          <w:b/>
          <w:color w:val="2B2B2B"/>
        </w:rPr>
        <w:t>Forberedelse:</w:t>
      </w:r>
      <w:r>
        <w:rPr>
          <w:color w:val="2B2B2B"/>
        </w:rPr>
        <w:t xml:space="preserve"> Sjölin, Jan Gunnar: ”Grundläggande om tolkning och b</w:t>
      </w:r>
      <w:r>
        <w:rPr>
          <w:color w:val="2B2B2B"/>
        </w:rPr>
        <w:t>etydelsesbildning” i </w:t>
      </w:r>
      <w:r>
        <w:rPr>
          <w:i/>
          <w:color w:val="2B2B2B"/>
        </w:rPr>
        <w:t>Att tolka bilder. Bildtolkningens teori och praktikk med exempel på tolkningar av bilder från 1850 till i dag</w:t>
      </w:r>
      <w:r>
        <w:rPr>
          <w:color w:val="2B2B2B"/>
        </w:rPr>
        <w:t>, 2. utgave. Lund: 1998, s. 13–45 (33 s.). Kjørup, Søren: ”Tre slags kærlighed” i </w:t>
      </w:r>
      <w:r>
        <w:rPr>
          <w:i/>
          <w:color w:val="2B2B2B"/>
        </w:rPr>
        <w:t>Hvorfor smiler Mona Lisa? En bog om billeder</w:t>
      </w:r>
      <w:r>
        <w:rPr>
          <w:i/>
          <w:color w:val="2B2B2B"/>
        </w:rPr>
        <w:t xml:space="preserve"> og deres brug</w:t>
      </w:r>
      <w:r>
        <w:rPr>
          <w:color w:val="2B2B2B"/>
        </w:rPr>
        <w:t>, 2. utgave. København: Roskilde Universitetsforlag, s. 23–32 (10 s.). Janss, Christian og Christian Refsum: “3 / poetisk billedbruk” i </w:t>
      </w:r>
      <w:r>
        <w:rPr>
          <w:i/>
          <w:color w:val="2B2B2B"/>
        </w:rPr>
        <w:t>Lyrikkens liv. Innføring i diktlesning</w:t>
      </w:r>
      <w:r>
        <w:rPr>
          <w:color w:val="2B2B2B"/>
        </w:rPr>
        <w:t>. Oslo: Universitetsforlaget, 2003.</w:t>
      </w:r>
    </w:p>
    <w:p w:rsidR="00000000" w:rsidRDefault="00665A08">
      <w:pPr>
        <w:pStyle w:val="BodyText"/>
        <w:widowControl/>
        <w:spacing w:before="45" w:line="255" w:lineRule="atLeast"/>
        <w:rPr>
          <w:color w:val="2B2B2B"/>
        </w:rPr>
      </w:pPr>
      <w:r>
        <w:rPr>
          <w:b/>
          <w:color w:val="2B2B2B"/>
        </w:rPr>
        <w:t>Uke 36. Oppgaveseminar</w:t>
      </w:r>
      <w:r>
        <w:rPr>
          <w:color w:val="2B2B2B"/>
        </w:rPr>
        <w:t>. Individu</w:t>
      </w:r>
      <w:r>
        <w:rPr>
          <w:color w:val="2B2B2B"/>
        </w:rPr>
        <w:t>ell oppgave leveres innen 13. september i Classfronter.</w:t>
      </w:r>
    </w:p>
    <w:p w:rsidR="00000000" w:rsidRDefault="00665A08">
      <w:pPr>
        <w:pStyle w:val="BodyText"/>
        <w:widowControl/>
        <w:spacing w:before="45" w:line="255" w:lineRule="atLeast"/>
        <w:rPr>
          <w:color w:val="2B2B2B"/>
        </w:rPr>
      </w:pPr>
      <w:r>
        <w:rPr>
          <w:b/>
          <w:color w:val="2B2B2B"/>
        </w:rPr>
        <w:t xml:space="preserve">Uke 37. </w:t>
      </w:r>
      <w:r>
        <w:rPr>
          <w:color w:val="2B2B2B"/>
        </w:rPr>
        <w:t xml:space="preserve">Mimesis, fremstilling og fortelling. </w:t>
      </w:r>
      <w:r>
        <w:rPr>
          <w:color w:val="2B2B2B"/>
        </w:rPr>
        <w:br/>
      </w:r>
      <w:r>
        <w:rPr>
          <w:b/>
          <w:color w:val="2B2B2B"/>
        </w:rPr>
        <w:t>Forberedelse:</w:t>
      </w:r>
      <w:r>
        <w:rPr>
          <w:color w:val="2B2B2B"/>
        </w:rPr>
        <w:t xml:space="preserve"> Aristoteles: et utdrag fra ”Poetikken” i Eiliv Eide m.fl. (red.): </w:t>
      </w:r>
      <w:r>
        <w:rPr>
          <w:i/>
          <w:color w:val="2B2B2B"/>
        </w:rPr>
        <w:t>Europeisk litteraturteori. Fra antikken til 1900</w:t>
      </w:r>
      <w:r>
        <w:rPr>
          <w:color w:val="2B2B2B"/>
        </w:rPr>
        <w:t>, 1998. Oslo: Universitets</w:t>
      </w:r>
      <w:r>
        <w:rPr>
          <w:color w:val="2B2B2B"/>
        </w:rPr>
        <w:t>forlaget. s. 23–31 (9 s.). Braathen, Lars Thomas m. fl., utdrag fra ”Film som fortelling” i </w:t>
      </w:r>
      <w:r>
        <w:rPr>
          <w:i/>
          <w:color w:val="2B2B2B"/>
        </w:rPr>
        <w:t>Introduksjon til film. Historie, teori og analyse</w:t>
      </w:r>
      <w:r>
        <w:rPr>
          <w:color w:val="2B2B2B"/>
        </w:rPr>
        <w:t>, s. 208–225 (18 s.). (Utdeling av oppgave 2)</w:t>
      </w:r>
    </w:p>
    <w:p w:rsidR="00000000" w:rsidRDefault="00665A08">
      <w:pPr>
        <w:pStyle w:val="BodyText"/>
        <w:widowControl/>
        <w:spacing w:before="45" w:line="255" w:lineRule="atLeast"/>
        <w:rPr>
          <w:color w:val="2B2B2B"/>
        </w:rPr>
      </w:pPr>
      <w:r>
        <w:rPr>
          <w:b/>
          <w:color w:val="2B2B2B"/>
        </w:rPr>
        <w:t xml:space="preserve">Uke 38. </w:t>
      </w:r>
      <w:r>
        <w:rPr>
          <w:color w:val="2B2B2B"/>
        </w:rPr>
        <w:t xml:space="preserve">Kunst og samhandling: Kunstneren, verket og betrakteren. </w:t>
      </w:r>
      <w:r>
        <w:rPr>
          <w:color w:val="2B2B2B"/>
        </w:rPr>
        <w:br/>
      </w:r>
      <w:r>
        <w:rPr>
          <w:b/>
          <w:color w:val="2B2B2B"/>
        </w:rPr>
        <w:t>For</w:t>
      </w:r>
      <w:r>
        <w:rPr>
          <w:b/>
          <w:color w:val="2B2B2B"/>
        </w:rPr>
        <w:t xml:space="preserve">beredelse: </w:t>
      </w:r>
      <w:r>
        <w:rPr>
          <w:color w:val="2B2B2B"/>
        </w:rPr>
        <w:t>Mukarovsky, Jan: ”Intensjonalitet og ikke-intensjonalitet i kunsten” i Atle Kittang m. fl. (red.), </w:t>
      </w:r>
      <w:r>
        <w:rPr>
          <w:i/>
          <w:color w:val="2B2B2B"/>
        </w:rPr>
        <w:t>Moderne litteraturteori: En antologi</w:t>
      </w:r>
      <w:r>
        <w:rPr>
          <w:color w:val="2B2B2B"/>
        </w:rPr>
        <w:t> (2. utgave). Oslo: Universitetsforlaget, s. 29–58 (30 s.). Cook, Nicholas: “I.I. Musical and non-musical list</w:t>
      </w:r>
      <w:r>
        <w:rPr>
          <w:color w:val="2B2B2B"/>
        </w:rPr>
        <w:t>ening” i </w:t>
      </w:r>
      <w:r>
        <w:rPr>
          <w:i/>
          <w:color w:val="2B2B2B"/>
        </w:rPr>
        <w:t>Music, Imagination &amp; Culture</w:t>
      </w:r>
      <w:r>
        <w:rPr>
          <w:color w:val="2B2B2B"/>
        </w:rPr>
        <w:t>, 1992. Oxford University Press . s. 10–22 (13 s.).</w:t>
      </w:r>
    </w:p>
    <w:p w:rsidR="00000000" w:rsidRDefault="00665A08">
      <w:pPr>
        <w:pStyle w:val="BodyText"/>
        <w:widowControl/>
        <w:spacing w:before="45" w:line="255" w:lineRule="atLeast"/>
        <w:rPr>
          <w:color w:val="2B2B2B"/>
        </w:rPr>
      </w:pPr>
      <w:r>
        <w:rPr>
          <w:b/>
          <w:color w:val="2B2B2B"/>
        </w:rPr>
        <w:t>Uke 39. Oppgaveseminar</w:t>
      </w:r>
      <w:r>
        <w:rPr>
          <w:color w:val="2B2B2B"/>
        </w:rPr>
        <w:t>. Førsteutkast leveres i Classfronter innen 4. oktober.</w:t>
      </w:r>
    </w:p>
    <w:p w:rsidR="00000000" w:rsidRDefault="00665A08">
      <w:pPr>
        <w:pStyle w:val="BodyText"/>
        <w:widowControl/>
        <w:spacing w:before="45" w:line="255" w:lineRule="atLeast"/>
        <w:rPr>
          <w:b/>
          <w:color w:val="2B2B2B"/>
        </w:rPr>
      </w:pPr>
      <w:r>
        <w:rPr>
          <w:b/>
          <w:color w:val="2B2B2B"/>
        </w:rPr>
        <w:t>Uke 40 : Lese- og skriveuke</w:t>
      </w:r>
    </w:p>
    <w:p w:rsidR="00000000" w:rsidRDefault="00665A08">
      <w:pPr>
        <w:pStyle w:val="BodyText"/>
        <w:widowControl/>
        <w:spacing w:before="45" w:line="255" w:lineRule="atLeast"/>
        <w:rPr>
          <w:color w:val="2B2B2B"/>
        </w:rPr>
      </w:pPr>
      <w:r>
        <w:rPr>
          <w:b/>
          <w:color w:val="2B2B2B"/>
        </w:rPr>
        <w:t xml:space="preserve">Uke 41. </w:t>
      </w:r>
      <w:r>
        <w:rPr>
          <w:color w:val="2B2B2B"/>
        </w:rPr>
        <w:t xml:space="preserve">Subjektet og det heroiske blikket. </w:t>
      </w:r>
      <w:r>
        <w:rPr>
          <w:color w:val="2B2B2B"/>
        </w:rPr>
        <w:br/>
      </w:r>
      <w:r>
        <w:rPr>
          <w:b/>
          <w:color w:val="2B2B2B"/>
        </w:rPr>
        <w:t xml:space="preserve">Forberedelse : </w:t>
      </w:r>
      <w:r>
        <w:rPr>
          <w:color w:val="2B2B2B"/>
        </w:rPr>
        <w:t>So</w:t>
      </w:r>
      <w:r>
        <w:rPr>
          <w:color w:val="2B2B2B"/>
        </w:rPr>
        <w:t>ntag, Susan (Oversatt av Agnete Øye): </w:t>
      </w:r>
      <w:r>
        <w:rPr>
          <w:i/>
          <w:color w:val="2B2B2B"/>
        </w:rPr>
        <w:t>Om fotografi</w:t>
      </w:r>
      <w:r>
        <w:rPr>
          <w:color w:val="2B2B2B"/>
        </w:rPr>
        <w:t>, 2004. Artes. Pax. Særlig ”Det heroiske blikket”, s. 111–148 (38 s.). (Utdeling av oppgave 3)</w:t>
      </w:r>
    </w:p>
    <w:p w:rsidR="00000000" w:rsidRDefault="00665A08">
      <w:pPr>
        <w:pStyle w:val="Normalweb"/>
        <w:rPr>
          <w:rFonts w:ascii="Times New Roman" w:hAnsi="Times New Roman"/>
        </w:rPr>
      </w:pPr>
      <w:r>
        <w:rPr>
          <w:rFonts w:ascii="Times New Roman" w:hAnsi="Times New Roman"/>
          <w:b/>
          <w:color w:val="2B2B2B"/>
        </w:rPr>
        <w:t xml:space="preserve">Uke 42. </w:t>
      </w:r>
      <w:r>
        <w:rPr>
          <w:rFonts w:ascii="Times New Roman" w:hAnsi="Times New Roman"/>
          <w:color w:val="2B2B2B"/>
        </w:rPr>
        <w:t>Verkets grenser/Performance.</w:t>
      </w:r>
      <w:r>
        <w:rPr>
          <w:rFonts w:ascii="Times New Roman" w:hAnsi="Times New Roman"/>
          <w:color w:val="2B2B2B"/>
        </w:rPr>
        <w:br/>
      </w:r>
      <w:r>
        <w:rPr>
          <w:rFonts w:ascii="Times New Roman" w:hAnsi="Times New Roman"/>
          <w:b/>
          <w:color w:val="2B2B2B"/>
        </w:rPr>
        <w:t xml:space="preserve">Forberedelse: </w:t>
      </w:r>
      <w:r>
        <w:rPr>
          <w:rFonts w:ascii="Times New Roman" w:hAnsi="Times New Roman"/>
        </w:rPr>
        <w:t xml:space="preserve">Hammer, Anita: </w:t>
      </w:r>
      <w:r>
        <w:rPr>
          <w:color w:val="2B2B2B"/>
        </w:rPr>
        <w:t>”</w:t>
      </w:r>
      <w:r>
        <w:rPr>
          <w:rFonts w:ascii="Times New Roman" w:hAnsi="Times New Roman"/>
        </w:rPr>
        <w:t>Når det førmoderne møter det postmoderne. En</w:t>
      </w:r>
      <w:r>
        <w:rPr>
          <w:rFonts w:ascii="Times New Roman" w:hAnsi="Times New Roman"/>
        </w:rPr>
        <w:t xml:space="preserve"> introduksjon til Richard Schechners performance-teori" i </w:t>
      </w:r>
      <w:r>
        <w:rPr>
          <w:rFonts w:ascii="Times New Roman" w:hAnsi="Times New Roman"/>
          <w:i/>
        </w:rPr>
        <w:t>Norsk Shakespeare- og teatertidsskrift</w:t>
      </w:r>
      <w:r>
        <w:rPr>
          <w:rFonts w:ascii="Times New Roman" w:hAnsi="Times New Roman"/>
        </w:rPr>
        <w:t xml:space="preserve"> nr. 1/2007 (s. 19–23).</w:t>
      </w:r>
    </w:p>
    <w:p w:rsidR="00000000" w:rsidRDefault="00665A08">
      <w:pPr>
        <w:pStyle w:val="BodyText"/>
        <w:widowControl/>
        <w:spacing w:before="45" w:line="255" w:lineRule="atLeast"/>
        <w:rPr>
          <w:color w:val="2B2B2B"/>
        </w:rPr>
      </w:pPr>
      <w:r>
        <w:rPr>
          <w:b/>
          <w:color w:val="2B2B2B"/>
        </w:rPr>
        <w:t>Uke 43. Oppgaveseminar</w:t>
      </w:r>
      <w:r>
        <w:rPr>
          <w:color w:val="2B2B2B"/>
        </w:rPr>
        <w:t>. Førsteutkast leveres innen 1.november i Classfronter.</w:t>
      </w:r>
    </w:p>
    <w:p w:rsidR="00000000" w:rsidRDefault="00665A08">
      <w:pPr>
        <w:pStyle w:val="BodyText"/>
        <w:widowControl/>
        <w:spacing w:before="45" w:line="255" w:lineRule="atLeast"/>
        <w:rPr>
          <w:color w:val="2B2B2B"/>
        </w:rPr>
      </w:pPr>
      <w:r>
        <w:rPr>
          <w:b/>
          <w:color w:val="2B2B2B"/>
        </w:rPr>
        <w:t xml:space="preserve">Uk3 44. </w:t>
      </w:r>
      <w:r>
        <w:rPr>
          <w:color w:val="2B2B2B"/>
        </w:rPr>
        <w:t>Vi samler trådene.</w:t>
      </w:r>
    </w:p>
    <w:p w:rsidR="00000000" w:rsidRDefault="00665A08">
      <w:r>
        <w:t>Innleveringsfrist for mappen 19</w:t>
      </w:r>
      <w:r>
        <w:t>. november, klokken 12.</w:t>
      </w:r>
    </w:p>
    <w:p w:rsidR="00000000" w:rsidRDefault="00665A08"/>
    <w:p w:rsidR="00000000" w:rsidRDefault="00665A08"/>
    <w:p w:rsidR="00000000" w:rsidRDefault="00665A08">
      <w:pPr>
        <w:widowControl/>
        <w:spacing w:before="45" w:after="120" w:line="255" w:lineRule="atLeast"/>
        <w:rPr>
          <w:color w:val="2B2B2B"/>
        </w:rPr>
      </w:pPr>
      <w:r>
        <w:rPr>
          <w:color w:val="2B2B2B"/>
        </w:rPr>
        <w:t xml:space="preserve">Teater: </w:t>
      </w:r>
      <w:r>
        <w:rPr>
          <w:i/>
          <w:color w:val="2B2B2B"/>
        </w:rPr>
        <w:t>Den unge Werthers lidingar</w:t>
      </w:r>
      <w:r>
        <w:rPr>
          <w:color w:val="2B2B2B"/>
        </w:rPr>
        <w:t xml:space="preserve"> på Det norske teateret,  22.9, 23.9 og 29.9</w:t>
      </w:r>
    </w:p>
    <w:p w:rsidR="00000000" w:rsidRDefault="00665A08">
      <w:pPr>
        <w:pStyle w:val="BodyText"/>
        <w:widowControl/>
        <w:spacing w:before="45" w:line="255" w:lineRule="atLeast"/>
        <w:rPr>
          <w:color w:val="2B2B2B"/>
        </w:rPr>
      </w:pPr>
    </w:p>
    <w:p w:rsidR="00000000" w:rsidRDefault="00665A08"/>
    <w:sectPr w:rsidR="000000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271C57"/>
    <w:rsid w:val="00271C57"/>
    <w:rsid w:val="0066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Helvetica"/>
      <w:kern w:val="1"/>
      <w:sz w:val="24"/>
      <w:szCs w:val="24"/>
      <w:lang w:val="fr-FR" w:eastAsia="hi-I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Overskrift">
    <w:name w:val="Overskrift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Bildetekst">
    <w:name w:val="Bildetekst"/>
    <w:basedOn w:val="Normal"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Normalweb">
    <w:name w:val="Normal (web)"/>
    <w:basedOn w:val="Normal"/>
    <w:pPr>
      <w:widowControl/>
      <w:suppressAutoHyphens w:val="0"/>
      <w:spacing w:before="100" w:after="100"/>
    </w:pPr>
    <w:rPr>
      <w:rFonts w:ascii="Arial" w:eastAsia="Times New Roman" w:hAnsi="Arial" w:cs="Arial"/>
      <w:lang w:val="nb-NO" w:eastAsia="ar-SA" w:bidi="ar-SA"/>
    </w:rPr>
  </w:style>
  <w:style w:type="paragraph" w:styleId="DocumentMap">
    <w:name w:val="Document Map"/>
    <w:basedOn w:val="Normal"/>
    <w:pPr>
      <w:shd w:val="clear" w:color="auto" w:fill="000080"/>
    </w:pPr>
    <w:rPr>
      <w:rFonts w:ascii="Helvetica" w:eastAsia="MS Gothic" w:hAnsi="Helveti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Forslag til undervisningsplan Exfac-Est</vt:lpstr>
    </vt:vector>
  </TitlesOfParts>
  <Company>Universitetet i Oslo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Forslag til undervisningsplan Exfac-Est</dc:title>
  <dc:subject/>
  <dc:creator>Helle  Waahlberg</dc:creator>
  <cp:keywords/>
  <cp:lastModifiedBy>paulie</cp:lastModifiedBy>
  <cp:revision>2</cp:revision>
  <cp:lastPrinted>2010-08-10T09:08:00Z</cp:lastPrinted>
  <dcterms:created xsi:type="dcterms:W3CDTF">2010-08-13T10:54:00Z</dcterms:created>
  <dcterms:modified xsi:type="dcterms:W3CDTF">2010-08-13T10:54:00Z</dcterms:modified>
</cp:coreProperties>
</file>